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95" w:rsidRDefault="00590F95" w:rsidP="00937521">
      <w:pPr>
        <w:spacing w:line="240" w:lineRule="auto"/>
        <w:jc w:val="right"/>
        <w:rPr>
          <w:rFonts w:ascii="Gungsuh" w:eastAsia="Gungsuh" w:hAnsi="Gungsuh"/>
          <w:b/>
          <w:sz w:val="28"/>
          <w:szCs w:val="28"/>
          <w:lang w:val="uk-UA"/>
        </w:rPr>
      </w:pPr>
      <w:r w:rsidRPr="004E26DB">
        <w:rPr>
          <w:rFonts w:ascii="Times New Roman" w:eastAsia="Gungsuh" w:hAnsi="Times New Roman"/>
          <w:sz w:val="28"/>
          <w:szCs w:val="28"/>
          <w:lang w:val="uk-UA"/>
        </w:rPr>
        <w:t>Додаток №2</w:t>
      </w:r>
    </w:p>
    <w:p w:rsidR="00590F95" w:rsidRDefault="00590F95" w:rsidP="00B14863">
      <w:pPr>
        <w:spacing w:line="240" w:lineRule="auto"/>
        <w:jc w:val="center"/>
        <w:rPr>
          <w:rFonts w:ascii="Times New Roman" w:eastAsia="Gungsuh" w:hAnsi="Times New Roman"/>
          <w:b/>
          <w:sz w:val="28"/>
          <w:szCs w:val="28"/>
          <w:lang w:val="uk-UA"/>
        </w:rPr>
      </w:pPr>
      <w:r w:rsidRPr="00937521">
        <w:rPr>
          <w:rFonts w:ascii="Times New Roman" w:eastAsia="Gungsuh" w:hAnsi="Times New Roman"/>
          <w:b/>
          <w:sz w:val="28"/>
          <w:szCs w:val="28"/>
          <w:lang w:val="uk-UA"/>
        </w:rPr>
        <w:t xml:space="preserve"> Протокол  амбулаторного спостереження  та надання стаціонарної допомоги хворим на ендокринну патологію з урахуванням розмежування рівнів медичних послуг</w:t>
      </w:r>
    </w:p>
    <w:p w:rsidR="00590F95" w:rsidRPr="00937521" w:rsidRDefault="00590F95" w:rsidP="00B14863">
      <w:pPr>
        <w:spacing w:line="240" w:lineRule="auto"/>
        <w:jc w:val="center"/>
        <w:rPr>
          <w:rFonts w:ascii="Times New Roman" w:eastAsia="Gungsuh" w:hAnsi="Times New Roman"/>
          <w:b/>
          <w:i/>
          <w:sz w:val="28"/>
          <w:szCs w:val="28"/>
          <w:lang w:val="uk-UA"/>
        </w:rPr>
      </w:pPr>
      <w:r>
        <w:rPr>
          <w:rFonts w:ascii="Times New Roman" w:eastAsia="Gungsuh" w:hAnsi="Times New Roman"/>
          <w:b/>
          <w:sz w:val="28"/>
          <w:szCs w:val="28"/>
          <w:lang w:val="uk-UA"/>
        </w:rPr>
        <w:t>(</w:t>
      </w:r>
      <w:r w:rsidRPr="00937521">
        <w:rPr>
          <w:rFonts w:ascii="Times New Roman" w:hAnsi="Times New Roman"/>
          <w:sz w:val="28"/>
          <w:szCs w:val="28"/>
          <w:lang w:val="uk-UA"/>
        </w:rPr>
        <w:t>відповідно до Клінічних протоколів відповідно до наказів МОЗ України від 27 квітня 2006 № 254 «Про затвердження протоколів надання медичної допомоги дітям за спеціальністю «Дитяча ендокринологія», від</w:t>
      </w:r>
      <w:r w:rsidRPr="00937521">
        <w:rPr>
          <w:rFonts w:ascii="Times New Roman" w:hAnsi="Times New Roman"/>
          <w:sz w:val="28"/>
          <w:szCs w:val="28"/>
          <w:lang w:val="uk-UA"/>
        </w:rPr>
        <w:br/>
        <w:t>03 лютого 2009 № 55 «Про затвердження протоколів лікування дітей з ендокринологічними захворюваннями», від 01 жовтня 2008 № 609 «Про удосконалення ендокринологічної допомоги населенню України»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590F95" w:rsidRPr="00925F86" w:rsidRDefault="00590F95" w:rsidP="001A2BA3">
      <w:pPr>
        <w:pStyle w:val="ListParagraph"/>
        <w:numPr>
          <w:ilvl w:val="0"/>
          <w:numId w:val="6"/>
        </w:numPr>
        <w:spacing w:line="240" w:lineRule="auto"/>
        <w:rPr>
          <w:rFonts w:ascii="Times New Roman" w:eastAsia="Gungsuh" w:hAnsi="Times New Roman"/>
          <w:sz w:val="28"/>
          <w:szCs w:val="28"/>
          <w:lang w:val="uk-UA"/>
        </w:rPr>
      </w:pPr>
      <w:r w:rsidRPr="00925F86">
        <w:rPr>
          <w:rFonts w:ascii="Times New Roman" w:eastAsia="Gungsuh" w:hAnsi="Times New Roman"/>
          <w:b/>
          <w:sz w:val="28"/>
          <w:szCs w:val="28"/>
          <w:lang w:val="uk-UA"/>
        </w:rPr>
        <w:t>Первинна медична допомога</w:t>
      </w:r>
      <w:r>
        <w:rPr>
          <w:rFonts w:ascii="Times New Roman" w:eastAsia="Gungsuh" w:hAnsi="Times New Roman"/>
          <w:b/>
          <w:sz w:val="28"/>
          <w:szCs w:val="28"/>
          <w:lang w:val="uk-UA"/>
        </w:rPr>
        <w:t xml:space="preserve"> – диспансерний </w:t>
      </w:r>
      <w:r w:rsidRPr="00925F86">
        <w:rPr>
          <w:rFonts w:ascii="Times New Roman" w:eastAsia="Gungsuh" w:hAnsi="Times New Roman"/>
          <w:sz w:val="28"/>
          <w:szCs w:val="28"/>
          <w:lang w:val="uk-UA"/>
        </w:rPr>
        <w:t xml:space="preserve"> </w:t>
      </w:r>
      <w:r w:rsidRPr="008D781D">
        <w:rPr>
          <w:rFonts w:ascii="Times New Roman" w:eastAsia="Gungsuh" w:hAnsi="Times New Roman"/>
          <w:b/>
          <w:sz w:val="28"/>
          <w:szCs w:val="28"/>
          <w:lang w:val="uk-UA"/>
        </w:rPr>
        <w:t>облік у лікарів загальної практики /сімейної медицини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8"/>
        <w:gridCol w:w="2640"/>
        <w:gridCol w:w="3520"/>
        <w:gridCol w:w="2860"/>
        <w:gridCol w:w="3520"/>
      </w:tblGrid>
      <w:tr w:rsidR="00590F95" w:rsidRPr="00EF636C" w:rsidTr="008D781D">
        <w:tc>
          <w:tcPr>
            <w:tcW w:w="2858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8"/>
                <w:szCs w:val="28"/>
              </w:rPr>
              <w:t xml:space="preserve"> </w:t>
            </w:r>
            <w:r w:rsidRPr="00A05D02"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  <w:t>Діагноз</w:t>
            </w:r>
          </w:p>
        </w:tc>
        <w:tc>
          <w:tcPr>
            <w:tcW w:w="264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  <w:t>Кратність огляду сімейного лікаря (планово)</w:t>
            </w:r>
          </w:p>
        </w:tc>
        <w:tc>
          <w:tcPr>
            <w:tcW w:w="35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  <w:t>Перелік лабораторних досліджень ,які потрібні при огляді</w:t>
            </w:r>
          </w:p>
        </w:tc>
        <w:tc>
          <w:tcPr>
            <w:tcW w:w="286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  <w:t xml:space="preserve">Антропометричні дані, які необхідно виконати при огляді </w:t>
            </w:r>
          </w:p>
        </w:tc>
        <w:tc>
          <w:tcPr>
            <w:tcW w:w="35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  <w:t xml:space="preserve">Направлення до дитячого ендокринолога </w:t>
            </w:r>
          </w:p>
        </w:tc>
      </w:tr>
      <w:tr w:rsidR="00590F95" w:rsidRPr="00EF636C" w:rsidTr="008D781D">
        <w:tc>
          <w:tcPr>
            <w:tcW w:w="2858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Цукровий діабет 2-го типу легка та середня важкість (без проведення інсулінотерапії)</w:t>
            </w:r>
          </w:p>
        </w:tc>
        <w:tc>
          <w:tcPr>
            <w:tcW w:w="264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 місяці</w:t>
            </w:r>
          </w:p>
        </w:tc>
        <w:tc>
          <w:tcPr>
            <w:tcW w:w="35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Глюкоза крові, глюкоза сечі, НвА1с,ліпідограма, сечова кіслота, мікроальбумін</w:t>
            </w:r>
          </w:p>
        </w:tc>
        <w:tc>
          <w:tcPr>
            <w:tcW w:w="286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Вага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ОТ/ОС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АТ</w:t>
            </w:r>
          </w:p>
        </w:tc>
        <w:tc>
          <w:tcPr>
            <w:tcW w:w="35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6 місяців</w:t>
            </w:r>
          </w:p>
        </w:tc>
      </w:tr>
      <w:tr w:rsidR="00590F95" w:rsidRPr="00EF636C" w:rsidTr="008D781D">
        <w:tc>
          <w:tcPr>
            <w:tcW w:w="2858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Ожиріння</w:t>
            </w:r>
          </w:p>
        </w:tc>
        <w:tc>
          <w:tcPr>
            <w:tcW w:w="264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6 місяців</w:t>
            </w:r>
          </w:p>
        </w:tc>
        <w:tc>
          <w:tcPr>
            <w:tcW w:w="35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Глюкоза крові, глюкоза сечі, НвА1с,ліпідограма, сечова кіслота, глюкозо-толерантний тест </w:t>
            </w:r>
          </w:p>
        </w:tc>
        <w:tc>
          <w:tcPr>
            <w:tcW w:w="286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Вага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ОТ/ОС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АТ</w:t>
            </w:r>
          </w:p>
        </w:tc>
        <w:tc>
          <w:tcPr>
            <w:tcW w:w="35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1 раз на рік </w:t>
            </w:r>
          </w:p>
        </w:tc>
      </w:tr>
    </w:tbl>
    <w:p w:rsidR="00590F95" w:rsidRDefault="00590F95" w:rsidP="00CA4D3E">
      <w:pPr>
        <w:tabs>
          <w:tab w:val="left" w:pos="360"/>
        </w:tabs>
        <w:spacing w:line="240" w:lineRule="auto"/>
        <w:rPr>
          <w:rFonts w:ascii="Times New Roman" w:eastAsia="Gungsuh" w:hAnsi="Times New Roman"/>
          <w:sz w:val="28"/>
          <w:szCs w:val="28"/>
          <w:lang w:val="en-US"/>
        </w:rPr>
      </w:pPr>
    </w:p>
    <w:p w:rsidR="00590F95" w:rsidRDefault="00590F95" w:rsidP="00937521">
      <w:pPr>
        <w:pStyle w:val="ListParagraph"/>
        <w:numPr>
          <w:ilvl w:val="0"/>
          <w:numId w:val="6"/>
        </w:numPr>
        <w:spacing w:line="240" w:lineRule="auto"/>
        <w:rPr>
          <w:rFonts w:ascii="Times New Roman" w:eastAsia="Gungsuh" w:hAnsi="Times New Roman"/>
          <w:b/>
          <w:sz w:val="28"/>
          <w:szCs w:val="28"/>
          <w:lang w:val="uk-UA"/>
        </w:rPr>
      </w:pPr>
      <w:r w:rsidRPr="00925F86">
        <w:rPr>
          <w:rFonts w:ascii="Times New Roman" w:eastAsia="Gungsuh" w:hAnsi="Times New Roman"/>
          <w:b/>
          <w:sz w:val="28"/>
          <w:szCs w:val="28"/>
          <w:lang w:val="uk-UA"/>
        </w:rPr>
        <w:t>Вторинна</w:t>
      </w:r>
      <w:r>
        <w:rPr>
          <w:rFonts w:ascii="Times New Roman" w:eastAsia="Gungsuh" w:hAnsi="Times New Roman"/>
          <w:b/>
          <w:sz w:val="28"/>
          <w:szCs w:val="28"/>
          <w:lang w:val="uk-UA"/>
        </w:rPr>
        <w:t xml:space="preserve"> медична допомога – диспансерний </w:t>
      </w:r>
      <w:r w:rsidRPr="00925F86">
        <w:rPr>
          <w:rFonts w:ascii="Times New Roman" w:eastAsia="Gungsuh" w:hAnsi="Times New Roman"/>
          <w:b/>
          <w:sz w:val="28"/>
          <w:szCs w:val="28"/>
          <w:lang w:val="uk-UA"/>
        </w:rPr>
        <w:t>облік у</w:t>
      </w:r>
      <w:r>
        <w:rPr>
          <w:rFonts w:ascii="Times New Roman" w:eastAsia="Gungsuh" w:hAnsi="Times New Roman"/>
          <w:b/>
          <w:sz w:val="28"/>
          <w:szCs w:val="28"/>
          <w:lang w:val="uk-UA"/>
        </w:rPr>
        <w:t xml:space="preserve"> дитячих</w:t>
      </w:r>
      <w:r w:rsidRPr="00925F86">
        <w:rPr>
          <w:rFonts w:ascii="Times New Roman" w:eastAsia="Gungsuh" w:hAnsi="Times New Roman"/>
          <w:b/>
          <w:sz w:val="28"/>
          <w:szCs w:val="28"/>
          <w:lang w:val="uk-UA"/>
        </w:rPr>
        <w:t xml:space="preserve"> ендокринологів</w:t>
      </w:r>
      <w:r>
        <w:rPr>
          <w:rFonts w:ascii="Times New Roman" w:eastAsia="Gungsuh" w:hAnsi="Times New Roman"/>
          <w:b/>
          <w:sz w:val="28"/>
          <w:szCs w:val="28"/>
          <w:lang w:val="uk-UA"/>
        </w:rPr>
        <w:t>, ендокринологів (при відсутності дитячих ендокринологів)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2"/>
        <w:gridCol w:w="3474"/>
        <w:gridCol w:w="3720"/>
        <w:gridCol w:w="4255"/>
      </w:tblGrid>
      <w:tr w:rsidR="00590F95" w:rsidRPr="00EF636C" w:rsidTr="00EF636C">
        <w:tc>
          <w:tcPr>
            <w:tcW w:w="3992" w:type="dxa"/>
          </w:tcPr>
          <w:p w:rsidR="00590F95" w:rsidRPr="00EF636C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 w:rsidRPr="00EF636C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Діагноз</w:t>
            </w:r>
          </w:p>
        </w:tc>
        <w:tc>
          <w:tcPr>
            <w:tcW w:w="3474" w:type="dxa"/>
          </w:tcPr>
          <w:p w:rsidR="00590F95" w:rsidRPr="00EF636C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 w:rsidRPr="00EF636C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 xml:space="preserve">Кратність огляду дитячого ендокринолога </w:t>
            </w:r>
          </w:p>
        </w:tc>
        <w:tc>
          <w:tcPr>
            <w:tcW w:w="3720" w:type="dxa"/>
          </w:tcPr>
          <w:p w:rsidR="00590F95" w:rsidRPr="00EF636C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 w:rsidRPr="00EF636C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 xml:space="preserve">Перелік лабораторних досліджень, які потрібні при огляді </w:t>
            </w:r>
          </w:p>
        </w:tc>
        <w:tc>
          <w:tcPr>
            <w:tcW w:w="4255" w:type="dxa"/>
          </w:tcPr>
          <w:p w:rsidR="00590F95" w:rsidRPr="00EF636C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 w:rsidRPr="00EF636C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Перелік функціональних досліджень/оглядів суміжних фахівців (1 раз на рік)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Цукровий діабет 2-го типу важка форма, або середня важкість при проведенні інсулінотерапії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1 місяць</w:t>
            </w:r>
          </w:p>
        </w:tc>
        <w:tc>
          <w:tcPr>
            <w:tcW w:w="3720" w:type="dxa"/>
          </w:tcPr>
          <w:p w:rsidR="00590F95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Глюкоза крові, глюкоза сечі, НвА1с,мікроальбумін</w:t>
            </w:r>
            <w:r w:rsidRPr="00A05D02">
              <w:rPr>
                <w:rFonts w:ascii="Times New Roman" w:eastAsia="Gungsuh" w:hAnsi="Times New Roman"/>
                <w:sz w:val="24"/>
                <w:szCs w:val="24"/>
              </w:rPr>
              <w:t xml:space="preserve"> </w:t>
            </w: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щомісячно</w:t>
            </w:r>
            <w:r w:rsidRPr="00A05D02">
              <w:rPr>
                <w:rFonts w:ascii="Times New Roman" w:eastAsia="Gungsuh" w:hAnsi="Times New Roman"/>
                <w:sz w:val="24"/>
                <w:szCs w:val="24"/>
              </w:rPr>
              <w:t>;</w:t>
            </w: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 маркери гепатитів В та С, нирково-печінковий комплекс, С-</w:t>
            </w:r>
          </w:p>
          <w:p w:rsidR="00590F95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пептид – 1 раз на рік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Окуліст, невропатолог, судинний хірург, УЗД ОЧП, УЗАС судин н кінцівок, РВГ гомілок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Цукровий діабет 1-го типу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місяць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Глюкоза крові, глюкоза сечі, НвА1с, мікроальбумін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Окуліст, невропатолог, судинний хірург, УЗД ОЧП, РВГ гомілок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Рубріка «інші форми цукрового діабету»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місяць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Глюкоза крові, глюкоза сечі, НвА1с, мікроальбумін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b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Окуліст, невропатолог, судинний хірург, УЗД ОЧП, РВГ гомілок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Дифузний нетоксичний зоб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(ТТГ, Т3 св, АТ-ТПО)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щитоподібної залози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Дифузний токсичний зоб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1 місяць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(ТТГ, Т3 св, Т4 св); Загальний АК;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щитоподібної  залози (за потреби), ЄКГ.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Гіпотиреоз поліморфного ґенезу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 місяці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Гормони (ТТГ, Т3 св, Т4 св), ліпідограма, загальний АК, 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щитовидної залози (за потреби), ЕКГ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Післяопераційний гіпопаратиреоз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Са++, гормони (ТТГ, Т3 св, Т4 св), ліпідограма, загальний АК 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щитовидної залози (за потреби), ЕКГ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Вузлові утворення щитоподібної залози, змішаний зоб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(ТТГ, Т3 св, АТ-ТПО); ТАПБ, ТГ , кальцітонін (за потреби)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щитовидної залози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Гіперпаратиреоз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Термінове спрямування на стаціонарне лікування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Кальцітонін, Са крові, електроліти плазми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щитовидної залози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Підгострий тиреоідіт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Термінове спрямування на стаціонарне лікування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Загальний АК 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щитовидної залози, огляд ЛОР-фахівця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Гострий тиреоідіт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Термінове спрямування на стаціонарне лікування 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Загальний АК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УЗД щитовидної залози, огляд ЛОР-фахівця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Ср щитоподібної залози ( в фазі постопераційного гіпотиреозу)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Загальний АК; ТГ; 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Огляд радіолога, онколога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Генетичні синдроми, які супроводжуються поліморфною ендокринною патологією ,яка потребує замісної гормональної терапії (Шерешевського-Тернера, Кляйнфельтера, Прадера-Віллі та інші)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та інші обстеження в залежності від виду порушення функції ендокринної залози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Функціональні дослідження, обумовлені синдромом </w:t>
            </w:r>
          </w:p>
        </w:tc>
      </w:tr>
      <w:tr w:rsidR="00590F95" w:rsidRPr="00937521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Наднирникова недостатність різного генезу 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1-3 місяці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(кортізол, АКТГ та інші за потребою), електроліти крові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ЄКГ, функціональні дослідження, обумовлені синдромом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Пухлини гіпофізу (хвороба Іценка_Кушінга, пролактінома, соматостатінома та інше);  пухлини наднирників; стани після оперативних втручань на наднирниках та гіпофізі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(в залежності від виду порушення функції ендокринної залози)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Функціональні дослідження, обумовлені синдромом, МРТ/СКТ.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Нецукровий діабет 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Аналіз сечі по Зимницькому, електроліти крові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Функціональні дослідження, обумовлені синдромом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Пангіпопітуітарізм (парціальний  гіпопітуітарізм); полігландулірний аутоімунні синдроми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місяць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Гормони (в залежності від виду порушення функції ендокринної залози)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Функціональні дослідження, обумовлені синдромом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Вроджена гіперплазія 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кори надниркових залоз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дітей до 1 року</w:t>
            </w: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 </w:t>
            </w: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1 раз на місяць,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дітей старше 1 року -</w:t>
            </w:r>
            <w:r w:rsidRPr="00A05D02">
              <w:rPr>
                <w:rFonts w:eastAsia="Gungsuh"/>
                <w:sz w:val="24"/>
                <w:szCs w:val="24"/>
              </w:rPr>
              <w:t>1 раз на 3 місяці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3720" w:type="dxa"/>
          </w:tcPr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К, Nа, СІ крові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Кортизол крові ранком або у добовій сечі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17-КС сечі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17-ОПГ, АКТГ ;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УЗД надниркових залоз, </w:t>
            </w:r>
          </w:p>
          <w:p w:rsidR="00590F95" w:rsidRPr="00A05D02" w:rsidRDefault="00590F95" w:rsidP="00EF636C">
            <w:pPr>
              <w:pStyle w:val="Title"/>
              <w:ind w:right="-108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МРТ головного мозку, при відсутності - рентгенограма черепа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Рентген кисті (кістковий вік)</w:t>
            </w: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1 раз на рік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rFonts w:eastAsia="Gungsuh"/>
                <w:sz w:val="24"/>
                <w:szCs w:val="24"/>
              </w:rPr>
              <w:t>Функціональні дослідження, обумовлені синдромом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Оцінка фізичного і статевого розвитку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Гінеколог, УЗД ОМТ*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Хірург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Клінічний аналіз крові, сечі.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Рівень глюкози крові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ЕКГ 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Діти із затримкою росту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8D7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Антропометрія</w:t>
            </w:r>
          </w:p>
          <w:p w:rsidR="00590F95" w:rsidRPr="00A05D02" w:rsidRDefault="00590F95" w:rsidP="008D7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Зріст батьків</w:t>
            </w:r>
          </w:p>
          <w:p w:rsidR="00590F95" w:rsidRPr="00A05D02" w:rsidRDefault="00590F95" w:rsidP="008D7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Рентгенологічне дослідження „кісткового” віку</w:t>
            </w:r>
          </w:p>
          <w:p w:rsidR="00590F95" w:rsidRPr="00A05D02" w:rsidRDefault="00590F95" w:rsidP="00EF636C">
            <w:pPr>
              <w:numPr>
                <w:ilvl w:val="0"/>
                <w:numId w:val="2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Консультація генетика</w:t>
            </w:r>
          </w:p>
          <w:p w:rsidR="00590F95" w:rsidRPr="00A05D02" w:rsidRDefault="00590F95" w:rsidP="00EF636C">
            <w:pPr>
              <w:numPr>
                <w:ilvl w:val="0"/>
                <w:numId w:val="2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Рівень СТГ базальний</w:t>
            </w:r>
          </w:p>
          <w:p w:rsidR="00590F95" w:rsidRPr="00A05D02" w:rsidRDefault="00590F95" w:rsidP="00EF636C">
            <w:pPr>
              <w:numPr>
                <w:ilvl w:val="0"/>
                <w:numId w:val="2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ТТГ, вТ4</w:t>
            </w:r>
          </w:p>
          <w:p w:rsidR="00590F95" w:rsidRPr="00A05D02" w:rsidRDefault="00590F95" w:rsidP="00EF636C">
            <w:pPr>
              <w:numPr>
                <w:ilvl w:val="0"/>
                <w:numId w:val="2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Дівчаткам - огляд гінеколога, УЗД матки, яєчників</w:t>
            </w:r>
          </w:p>
          <w:p w:rsidR="00590F95" w:rsidRPr="00A05D02" w:rsidRDefault="00590F95" w:rsidP="00EF636C">
            <w:pPr>
              <w:numPr>
                <w:ilvl w:val="0"/>
                <w:numId w:val="2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Аналіз крові на токсоплазмоз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pStyle w:val="Subtitle"/>
              <w:outlineLvl w:val="0"/>
              <w:rPr>
                <w:b w:val="0"/>
                <w:i w:val="0"/>
                <w:sz w:val="24"/>
                <w:szCs w:val="24"/>
              </w:rPr>
            </w:pPr>
            <w:r w:rsidRPr="00A05D02">
              <w:rPr>
                <w:b w:val="0"/>
                <w:i w:val="0"/>
                <w:sz w:val="24"/>
                <w:szCs w:val="24"/>
              </w:rPr>
              <w:t>Диспансерне спостереження - до відсутності затримки росту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rFonts w:eastAsia="Gungsuh"/>
                <w:sz w:val="24"/>
                <w:szCs w:val="24"/>
              </w:rPr>
            </w:pP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Хлопчики із затримкою статевого розвитку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Оцінка росту, статевого розвитку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Консультація генетика,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статевий хроматин, каріотип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Клінічний аналіз крові, сечі;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МРТ головного мозку (при необхідності)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Рентген кисті (кістковий вік)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ФСГ, ЛГ, ПРЛ, естрадіол, тестостерон, </w:t>
            </w:r>
          </w:p>
          <w:p w:rsidR="00590F95" w:rsidRPr="00A05D02" w:rsidRDefault="00590F95" w:rsidP="00EF63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hAnsi="Times New Roman"/>
                <w:sz w:val="24"/>
                <w:szCs w:val="24"/>
              </w:rPr>
              <w:t>Проба з ХГ (при потребі)</w:t>
            </w: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за показами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pStyle w:val="Subtitle"/>
              <w:outlineLvl w:val="0"/>
              <w:rPr>
                <w:b w:val="0"/>
                <w:i w:val="0"/>
                <w:sz w:val="24"/>
                <w:szCs w:val="24"/>
              </w:rPr>
            </w:pPr>
            <w:r w:rsidRPr="00A05D02">
              <w:rPr>
                <w:b w:val="0"/>
                <w:i w:val="0"/>
                <w:sz w:val="24"/>
                <w:szCs w:val="24"/>
              </w:rPr>
              <w:t>При відсутності відставання у рості  і статевому розвитку – зняття з обліку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Крипторхізм</w:t>
            </w:r>
          </w:p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3474" w:type="dxa"/>
          </w:tcPr>
          <w:p w:rsidR="00590F95" w:rsidRPr="00A05D02" w:rsidRDefault="00590F95" w:rsidP="00EF636C">
            <w:pPr>
              <w:pStyle w:val="Title"/>
              <w:jc w:val="left"/>
              <w:rPr>
                <w:rFonts w:eastAsia="Gungsuh"/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1 раз на 3 міс. при консервативному лікуванні 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Хірург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УЗД яєчок ;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 xml:space="preserve">МРТ або КТ головного мозку. 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(при відсутності  - Ro черепа)</w:t>
            </w:r>
          </w:p>
          <w:p w:rsidR="00590F95" w:rsidRPr="00A05D02" w:rsidRDefault="00590F95" w:rsidP="00EF636C">
            <w:pPr>
              <w:pStyle w:val="Title"/>
              <w:ind w:right="-108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Генетик (статевий хроматин, каріотип)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Проба з хоріонічним гонадотропіном (з визначенням тестостерону)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Тестикулярна ангіографія – за показаннями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pStyle w:val="Subtitle"/>
              <w:outlineLvl w:val="0"/>
              <w:rPr>
                <w:b w:val="0"/>
                <w:i w:val="0"/>
                <w:sz w:val="24"/>
                <w:szCs w:val="24"/>
              </w:rPr>
            </w:pPr>
            <w:r w:rsidRPr="00A05D02">
              <w:rPr>
                <w:b w:val="0"/>
                <w:i w:val="0"/>
                <w:sz w:val="24"/>
                <w:szCs w:val="24"/>
              </w:rPr>
              <w:t>Зняття з обліку при наявності ознак своєчасного статевого дозрівання</w:t>
            </w:r>
          </w:p>
        </w:tc>
      </w:tr>
      <w:tr w:rsidR="00590F95" w:rsidRPr="00A05D02" w:rsidTr="00EF636C">
        <w:tc>
          <w:tcPr>
            <w:tcW w:w="3992" w:type="dxa"/>
          </w:tcPr>
          <w:p w:rsidR="00590F95" w:rsidRPr="00A05D02" w:rsidRDefault="00590F95" w:rsidP="00EF636C">
            <w:pPr>
              <w:spacing w:after="0" w:line="240" w:lineRule="auto"/>
              <w:jc w:val="center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Передчасний статевий розвиток</w:t>
            </w:r>
          </w:p>
        </w:tc>
        <w:tc>
          <w:tcPr>
            <w:tcW w:w="3474" w:type="dxa"/>
          </w:tcPr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rFonts w:eastAsia="Gungsuh"/>
                <w:sz w:val="24"/>
                <w:szCs w:val="24"/>
              </w:rPr>
              <w:t>1 раз на 3-6 місяців</w:t>
            </w:r>
          </w:p>
        </w:tc>
        <w:tc>
          <w:tcPr>
            <w:tcW w:w="3720" w:type="dxa"/>
          </w:tcPr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ФСГ, ЛГ, ПРЛ, естрадіол або тестостерон (див.відповідний протокол)</w:t>
            </w:r>
          </w:p>
          <w:p w:rsidR="00590F95" w:rsidRPr="00A05D02" w:rsidRDefault="00590F95" w:rsidP="00EF636C">
            <w:pPr>
              <w:pStyle w:val="Title"/>
              <w:jc w:val="left"/>
              <w:rPr>
                <w:sz w:val="24"/>
                <w:szCs w:val="24"/>
              </w:rPr>
            </w:pPr>
            <w:r w:rsidRPr="00A05D02">
              <w:rPr>
                <w:sz w:val="24"/>
                <w:szCs w:val="24"/>
              </w:rPr>
              <w:t>17-ОПГ</w:t>
            </w:r>
          </w:p>
        </w:tc>
        <w:tc>
          <w:tcPr>
            <w:tcW w:w="4255" w:type="dxa"/>
          </w:tcPr>
          <w:p w:rsidR="00590F95" w:rsidRPr="00A05D02" w:rsidRDefault="00590F95" w:rsidP="00EF636C">
            <w:pPr>
              <w:pStyle w:val="Subtitle"/>
              <w:outlineLvl w:val="0"/>
              <w:rPr>
                <w:b w:val="0"/>
                <w:i w:val="0"/>
                <w:sz w:val="24"/>
                <w:szCs w:val="24"/>
              </w:rPr>
            </w:pPr>
            <w:r w:rsidRPr="00A05D02">
              <w:rPr>
                <w:rFonts w:eastAsia="Gungsuh"/>
                <w:b w:val="0"/>
                <w:i w:val="0"/>
                <w:sz w:val="24"/>
                <w:szCs w:val="24"/>
              </w:rPr>
              <w:t>Функціональні дослідження, обумовлені синдромом</w:t>
            </w:r>
          </w:p>
        </w:tc>
      </w:tr>
    </w:tbl>
    <w:p w:rsidR="00590F95" w:rsidRPr="00925F86" w:rsidRDefault="00590F95" w:rsidP="00D62BFA">
      <w:pPr>
        <w:spacing w:line="240" w:lineRule="auto"/>
        <w:jc w:val="center"/>
        <w:rPr>
          <w:rFonts w:ascii="Times New Roman" w:eastAsia="Gungsuh" w:hAnsi="Times New Roman"/>
          <w:b/>
          <w:sz w:val="28"/>
          <w:szCs w:val="28"/>
          <w:lang w:val="uk-UA"/>
        </w:rPr>
      </w:pPr>
    </w:p>
    <w:p w:rsidR="00590F95" w:rsidRPr="004E26DB" w:rsidRDefault="00590F95" w:rsidP="001A2BA3">
      <w:pPr>
        <w:pStyle w:val="ListParagraph"/>
        <w:numPr>
          <w:ilvl w:val="0"/>
          <w:numId w:val="6"/>
        </w:numPr>
        <w:spacing w:line="240" w:lineRule="auto"/>
        <w:jc w:val="center"/>
        <w:rPr>
          <w:rFonts w:ascii="Times New Roman" w:eastAsia="Gungsuh" w:hAnsi="Times New Roman"/>
          <w:b/>
          <w:sz w:val="28"/>
          <w:szCs w:val="28"/>
          <w:lang w:val="uk-UA"/>
        </w:rPr>
      </w:pPr>
      <w:r w:rsidRPr="00925F86">
        <w:rPr>
          <w:rFonts w:ascii="Times New Roman" w:eastAsia="Gungsuh" w:hAnsi="Times New Roman"/>
          <w:b/>
          <w:sz w:val="28"/>
          <w:szCs w:val="28"/>
          <w:lang w:val="uk-UA"/>
        </w:rPr>
        <w:t>Рекомендаці</w:t>
      </w:r>
      <w:r>
        <w:rPr>
          <w:rFonts w:ascii="Times New Roman" w:eastAsia="Gungsuh" w:hAnsi="Times New Roman"/>
          <w:b/>
          <w:sz w:val="28"/>
          <w:szCs w:val="28"/>
          <w:lang w:val="uk-UA"/>
        </w:rPr>
        <w:t>ї щодо надання ургентної  та планової (спеціалізовані ліжка)  допомоги хворим на ендокринну патологію  на вторинному рівні</w:t>
      </w:r>
    </w:p>
    <w:tbl>
      <w:tblPr>
        <w:tblW w:w="1555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8"/>
        <w:gridCol w:w="5528"/>
        <w:gridCol w:w="5670"/>
      </w:tblGrid>
      <w:tr w:rsidR="00590F95" w:rsidRPr="00EF636C" w:rsidTr="00492AB5">
        <w:tc>
          <w:tcPr>
            <w:tcW w:w="4358" w:type="dxa"/>
            <w:vMerge w:val="restart"/>
            <w:vAlign w:val="center"/>
          </w:tcPr>
          <w:p w:rsidR="00590F95" w:rsidRPr="00925F86" w:rsidRDefault="00590F95" w:rsidP="00C179E6">
            <w:pPr>
              <w:spacing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Gungsuh" w:hAnsi="Times New Roman"/>
                <w:sz w:val="28"/>
                <w:szCs w:val="28"/>
                <w:lang w:val="uk-UA"/>
              </w:rPr>
              <w:t xml:space="preserve"> </w:t>
            </w:r>
            <w:r w:rsidRPr="00925F86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Діагноз</w:t>
            </w:r>
          </w:p>
        </w:tc>
        <w:tc>
          <w:tcPr>
            <w:tcW w:w="11198" w:type="dxa"/>
            <w:gridSpan w:val="2"/>
          </w:tcPr>
          <w:p w:rsidR="00590F95" w:rsidRPr="00925F86" w:rsidRDefault="00590F95" w:rsidP="00C179E6">
            <w:pPr>
              <w:spacing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</w:rPr>
            </w:pPr>
            <w:r w:rsidRPr="00925F86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Вторинна медична допомога</w:t>
            </w:r>
            <w:r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 xml:space="preserve"> (спеціалізована)</w:t>
            </w:r>
          </w:p>
        </w:tc>
      </w:tr>
      <w:tr w:rsidR="00590F95" w:rsidRPr="00EF636C" w:rsidTr="00492AB5">
        <w:tc>
          <w:tcPr>
            <w:tcW w:w="4358" w:type="dxa"/>
            <w:vMerge/>
          </w:tcPr>
          <w:p w:rsidR="00590F95" w:rsidRPr="00182EC3" w:rsidRDefault="00590F95" w:rsidP="00C179E6">
            <w:pPr>
              <w:spacing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590F95" w:rsidRPr="00925F86" w:rsidRDefault="00590F95" w:rsidP="00C179E6">
            <w:pPr>
              <w:spacing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ВАІТ</w:t>
            </w:r>
          </w:p>
        </w:tc>
        <w:tc>
          <w:tcPr>
            <w:tcW w:w="5670" w:type="dxa"/>
          </w:tcPr>
          <w:p w:rsidR="00590F95" w:rsidRPr="00A05D02" w:rsidRDefault="00590F95" w:rsidP="00C179E6">
            <w:pPr>
              <w:spacing w:line="240" w:lineRule="auto"/>
              <w:jc w:val="center"/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</w:pPr>
            <w:r w:rsidRPr="00925F86"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Стаціонар</w:t>
            </w:r>
            <w:r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 xml:space="preserve"> ендокринного профілю</w:t>
            </w:r>
            <w:r>
              <w:rPr>
                <w:rFonts w:ascii="Times New Roman" w:eastAsia="Gungsuh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Gungsuh" w:hAnsi="Times New Roman"/>
                <w:b/>
                <w:sz w:val="28"/>
                <w:szCs w:val="28"/>
                <w:lang w:val="uk-UA"/>
              </w:rPr>
              <w:t>дитячий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</w:rPr>
              <w:t>Цукровий д</w:t>
            </w: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іабет  1-го типу </w:t>
            </w:r>
          </w:p>
        </w:tc>
        <w:tc>
          <w:tcPr>
            <w:tcW w:w="5528" w:type="dxa"/>
          </w:tcPr>
          <w:p w:rsidR="00590F95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1) Діабетичний кетоз, кетоацидоз з втратою свідомості, прекоматозні стани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2) Важкі гіпоглікемії з втратою свідомості, стан після важких  гіпоглікемій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3)Стани після оперативного втручання різного генезу, які супроводжуються вираженою декомпенсацією вуглеводного обміну</w:t>
            </w:r>
          </w:p>
          <w:p w:rsidR="00590F95" w:rsidRPr="00A05D02" w:rsidRDefault="00590F95" w:rsidP="00EB16B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4)Лактатацидемічна кома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5)Гіперосмолярна кома</w:t>
            </w:r>
          </w:p>
        </w:tc>
        <w:tc>
          <w:tcPr>
            <w:tcW w:w="5670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1) Корекція інсулінотерапії та замісної гормональної терапії у хворих  після коматозних станів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2) Корекція  схем, видів та дозування інсулінотерапії; первинне призначення аналогових форм інсуліну</w:t>
            </w:r>
            <w:bookmarkStart w:id="0" w:name="_GoBack"/>
            <w:bookmarkEnd w:id="0"/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590F95" w:rsidRPr="00937521" w:rsidTr="00492AB5">
        <w:tc>
          <w:tcPr>
            <w:tcW w:w="4358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 xml:space="preserve">Цукровий діабет  2  типу </w:t>
            </w:r>
          </w:p>
        </w:tc>
        <w:tc>
          <w:tcPr>
            <w:tcW w:w="5528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1) Кетоацидоз з втратою свідомості, прекоматозні стани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2) Важкі гіпоглікемії з втратою свідомості,стан після важких гіпоглікемій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3) Стани після ампутації кінцівок  (гангрени, флегмони)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4) Стани після оперативного втручання ,які супроводжуються декомпенсацією вуглеводного обміну</w:t>
            </w:r>
          </w:p>
          <w:p w:rsidR="00590F95" w:rsidRPr="00A05D02" w:rsidRDefault="00590F95" w:rsidP="00847F46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5)Лактатацидемічна кома</w:t>
            </w:r>
          </w:p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6)Гіперосмолярна кома</w:t>
            </w:r>
          </w:p>
        </w:tc>
        <w:tc>
          <w:tcPr>
            <w:tcW w:w="5670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1) Нейротропна, метаболічна, судинна, антибактеріальна ( та ін.) терапія у хворих з обмеженими можливостями після коматозних станів та оперативних втручань</w:t>
            </w:r>
          </w:p>
          <w:p w:rsidR="00590F95" w:rsidRPr="00A05D02" w:rsidRDefault="00590F95" w:rsidP="00182EC3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2)  Корекція  схем, видів та дозування інсулінотерапії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Гіпотиреоз різного генезу ( набутий, ідеопатичний, післяопераційний, на фоні аутоімунного тиреоідіту, у складі генетичних синдромів, вторинний).</w:t>
            </w:r>
          </w:p>
        </w:tc>
        <w:tc>
          <w:tcPr>
            <w:tcW w:w="5528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0" w:type="dxa"/>
          </w:tcPr>
          <w:p w:rsidR="00590F95" w:rsidRPr="00A05D02" w:rsidRDefault="00590F95" w:rsidP="0072325E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Декомпенсація стану за різниці причинами (супутня патологія, перерва у прийому препарату та інше ;нейротропна, судинна (та ін.)  корекція терапії після декомпенсації тиреоідного обміну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Наднирникова недостатність (хвороба Аддісона, адреналектомія, полігландулярні аутоімунні синдроми та інше )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0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Декомпенсація стану за різними причинами ( стрес, інтеркурентні захворювання, порушення режиму гормонозамісної терапії хворим  та інше); нейротропна, судинна (та ін.)  корекція терапії після декомпенсації мінерало та глюкокортикоідного обміну</w:t>
            </w:r>
          </w:p>
        </w:tc>
      </w:tr>
      <w:tr w:rsidR="00590F95" w:rsidRPr="00937521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Гіпопітуітарізм  (хвороби Сіммондса, Шієна, ідиопатичний, стани  після оперативних втручань на аденомах гіпофіза та інше).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0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Декомпесація стану  з різних причин ( стрес, інтеркурентні захворювання, порушення режиму гормонозамісної терапії хворим та інше)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Нецукровий діабет ( первинний та вторинний)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rPr>
                <w:rFonts w:ascii="Times New Roman" w:eastAsia="Gungsuh" w:hAnsi="Times New Roman"/>
                <w:sz w:val="24"/>
                <w:szCs w:val="24"/>
              </w:rPr>
            </w:pPr>
          </w:p>
          <w:p w:rsidR="00590F95" w:rsidRPr="00A05D02" w:rsidRDefault="00590F95" w:rsidP="00CC6891">
            <w:pPr>
              <w:rPr>
                <w:rFonts w:ascii="Times New Roman" w:eastAsia="Gungsuh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Декомпенсація стану з різних причин  ( прийом медичних засобів, порушення режиму введення препарату хворим, супутня ЛОР та нейрон патологія)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Тиреотоксікоз (на фоні різної патології щитоподібної залози)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0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Корекція терапії тиреостатиками; метаболічна та судинна терапія , направлена на компенсацію стану важких тиреотоксикозів ( тиреотоксічне серце,офтальмопатія 1-2 ступеню)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Хвороба та синдром  Іценка-Кушинга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Корекція гормонального стану у віддаленому периоді після адреналектомії , видалення аденоми гіпофізу та при декомпенсації стану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Підгострий тиреоідіт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Протизапальна, антибактеріальна   терапія</w:t>
            </w:r>
          </w:p>
        </w:tc>
      </w:tr>
      <w:tr w:rsidR="00590F95" w:rsidRPr="00EF636C" w:rsidTr="00A05D02">
        <w:trPr>
          <w:trHeight w:val="690"/>
        </w:trPr>
        <w:tc>
          <w:tcPr>
            <w:tcW w:w="4358" w:type="dxa"/>
          </w:tcPr>
          <w:p w:rsidR="00590F95" w:rsidRPr="00A05D02" w:rsidRDefault="00590F95" w:rsidP="004F69A2">
            <w:pPr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Вроджена гіперплазія кори надниркових залоз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4F69A2">
            <w:pPr>
              <w:jc w:val="both"/>
              <w:rPr>
                <w:rFonts w:ascii="Times New Roman" w:eastAsia="Gungsuh" w:hAnsi="Times New Roman"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роведення діагностичних проб при вперше виявленій хворобі.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Діти із затримкою росту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A05D02">
            <w:pPr>
              <w:jc w:val="both"/>
              <w:rPr>
                <w:b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роведення діагностичних проб при вперше виявленій хворобі.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Хлопчики із затримкою статевого розвитку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871CC0">
            <w:pPr>
              <w:jc w:val="both"/>
              <w:rPr>
                <w:b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роведення діагностичних проб при вперше виявленій хворобі.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Крипторхізм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871CC0">
            <w:pPr>
              <w:jc w:val="both"/>
              <w:rPr>
                <w:b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роведення діагностичних проб при вперше виявленій хворобі.</w:t>
            </w:r>
          </w:p>
        </w:tc>
      </w:tr>
      <w:tr w:rsidR="00590F95" w:rsidRPr="00EF636C" w:rsidTr="00492AB5">
        <w:tc>
          <w:tcPr>
            <w:tcW w:w="4358" w:type="dxa"/>
          </w:tcPr>
          <w:p w:rsidR="00590F95" w:rsidRPr="00A05D02" w:rsidRDefault="00590F95" w:rsidP="004F69A2">
            <w:pPr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  <w:r w:rsidRPr="00A05D02">
              <w:rPr>
                <w:rFonts w:ascii="Times New Roman" w:eastAsia="Gungsuh" w:hAnsi="Times New Roman"/>
                <w:sz w:val="24"/>
                <w:szCs w:val="24"/>
                <w:lang w:val="uk-UA"/>
              </w:rPr>
              <w:t>Передчасний статевий розвиток</w:t>
            </w:r>
          </w:p>
        </w:tc>
        <w:tc>
          <w:tcPr>
            <w:tcW w:w="5528" w:type="dxa"/>
          </w:tcPr>
          <w:p w:rsidR="00590F95" w:rsidRPr="00A05D02" w:rsidRDefault="00590F95" w:rsidP="00CC6891">
            <w:pPr>
              <w:spacing w:line="240" w:lineRule="auto"/>
              <w:rPr>
                <w:rFonts w:ascii="Times New Roman" w:eastAsia="Gungsuh" w:hAnsi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</w:tcPr>
          <w:p w:rsidR="00590F95" w:rsidRPr="00A05D02" w:rsidRDefault="00590F95" w:rsidP="00A05D02">
            <w:pPr>
              <w:jc w:val="both"/>
              <w:rPr>
                <w:b/>
                <w:sz w:val="24"/>
                <w:szCs w:val="24"/>
              </w:rPr>
            </w:pPr>
            <w:r w:rsidRPr="00A05D02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A05D02">
              <w:rPr>
                <w:rFonts w:ascii="Times New Roman" w:hAnsi="Times New Roman"/>
                <w:sz w:val="24"/>
                <w:szCs w:val="24"/>
              </w:rPr>
              <w:t>роведення діагностичних проб при вперше виявленій хворобі.</w:t>
            </w:r>
          </w:p>
        </w:tc>
      </w:tr>
    </w:tbl>
    <w:p w:rsidR="00590F95" w:rsidRDefault="00590F95" w:rsidP="0071593A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 xml:space="preserve"> </w:t>
      </w:r>
    </w:p>
    <w:p w:rsidR="00590F95" w:rsidRDefault="00590F95" w:rsidP="0071593A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Default="00590F95" w:rsidP="0071593A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Default="00590F95" w:rsidP="0071593A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Default="00590F95" w:rsidP="0071593A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Pr="00E309F1" w:rsidRDefault="00590F95" w:rsidP="008D781D">
      <w:pPr>
        <w:pStyle w:val="ListParagraph"/>
        <w:jc w:val="center"/>
        <w:rPr>
          <w:rFonts w:ascii="Times New Roman" w:eastAsia="Gungsuh" w:hAnsi="Times New Roman"/>
          <w:b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/>
          <w:bCs/>
          <w:sz w:val="28"/>
          <w:szCs w:val="28"/>
          <w:lang w:val="uk-UA"/>
        </w:rPr>
        <w:t>Показання</w:t>
      </w:r>
      <w:r w:rsidRPr="00E309F1"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для направлення на консультацію до</w:t>
      </w:r>
      <w:r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дитячого</w:t>
      </w:r>
      <w:r w:rsidRPr="00E309F1"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ендокринолога КЗ «Д</w:t>
      </w:r>
      <w:r>
        <w:rPr>
          <w:rFonts w:ascii="Times New Roman" w:eastAsia="Gungsuh" w:hAnsi="Times New Roman"/>
          <w:b/>
          <w:bCs/>
          <w:sz w:val="28"/>
          <w:szCs w:val="28"/>
          <w:lang w:val="uk-UA"/>
        </w:rPr>
        <w:t>ніпропетровська МД</w:t>
      </w:r>
      <w:r w:rsidRPr="00E309F1">
        <w:rPr>
          <w:rFonts w:ascii="Times New Roman" w:eastAsia="Gungsuh" w:hAnsi="Times New Roman"/>
          <w:b/>
          <w:bCs/>
          <w:sz w:val="28"/>
          <w:szCs w:val="28"/>
          <w:lang w:val="uk-UA"/>
        </w:rPr>
        <w:t>КЛ</w:t>
      </w:r>
      <w:r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№ 1</w:t>
      </w:r>
      <w:r w:rsidRPr="00E309F1"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ДОР», головного позаштатного спеціаліста з</w:t>
      </w:r>
      <w:r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дитячої</w:t>
      </w:r>
      <w:r w:rsidRPr="00E309F1">
        <w:rPr>
          <w:rFonts w:ascii="Times New Roman" w:eastAsia="Gungsuh" w:hAnsi="Times New Roman"/>
          <w:b/>
          <w:bCs/>
          <w:sz w:val="28"/>
          <w:szCs w:val="28"/>
          <w:lang w:val="uk-UA"/>
        </w:rPr>
        <w:t xml:space="preserve"> ендокринології</w:t>
      </w:r>
    </w:p>
    <w:p w:rsidR="00590F95" w:rsidRDefault="00590F95" w:rsidP="0071593A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Default="00590F95" w:rsidP="0071593A">
      <w:pPr>
        <w:pStyle w:val="ListParagraph"/>
        <w:numPr>
          <w:ilvl w:val="0"/>
          <w:numId w:val="22"/>
        </w:numPr>
        <w:rPr>
          <w:rFonts w:ascii="Times New Roman" w:eastAsia="Gungsuh" w:hAnsi="Times New Roman"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>Вперше виявлені аденоми гіпофізу та інші нейроендокринні пухлини.</w:t>
      </w:r>
    </w:p>
    <w:p w:rsidR="00590F95" w:rsidRDefault="00590F95" w:rsidP="0071593A">
      <w:pPr>
        <w:pStyle w:val="ListParagraph"/>
        <w:numPr>
          <w:ilvl w:val="0"/>
          <w:numId w:val="22"/>
        </w:numPr>
        <w:rPr>
          <w:rFonts w:ascii="Times New Roman" w:eastAsia="Gungsuh" w:hAnsi="Times New Roman"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>Вперше виявлені пухлини наднирників</w:t>
      </w:r>
    </w:p>
    <w:p w:rsidR="00590F95" w:rsidRDefault="00590F95" w:rsidP="0071593A">
      <w:pPr>
        <w:pStyle w:val="ListParagraph"/>
        <w:numPr>
          <w:ilvl w:val="0"/>
          <w:numId w:val="22"/>
        </w:numPr>
        <w:rPr>
          <w:rFonts w:ascii="Times New Roman" w:eastAsia="Gungsuh" w:hAnsi="Times New Roman"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>Хворі, з патологією росту, які за віком не перевищують 18 років та не мають «соціально придатного росту» або мають «відкриті» зони росту.</w:t>
      </w:r>
    </w:p>
    <w:p w:rsidR="00590F95" w:rsidRDefault="00590F95" w:rsidP="0071593A">
      <w:pPr>
        <w:pStyle w:val="ListParagraph"/>
        <w:numPr>
          <w:ilvl w:val="0"/>
          <w:numId w:val="22"/>
        </w:numPr>
        <w:rPr>
          <w:rFonts w:ascii="Times New Roman" w:eastAsia="Gungsuh" w:hAnsi="Times New Roman"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>Підозра/виявлення синдромів множинної ендокринної неоплазії</w:t>
      </w:r>
    </w:p>
    <w:p w:rsidR="00590F95" w:rsidRPr="0040548D" w:rsidRDefault="00590F95" w:rsidP="00DA7BEA">
      <w:pPr>
        <w:spacing w:line="240" w:lineRule="auto"/>
        <w:rPr>
          <w:rFonts w:ascii="Times New Roman" w:eastAsia="Gungsuh" w:hAnsi="Times New Roman"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 xml:space="preserve">          5. Різноманітна ендокринна патологія, яка потребує уточнення в межах встановлення діагнозу/вибору тактики лікування.</w:t>
      </w:r>
      <w:r w:rsidRPr="00DA7BEA">
        <w:rPr>
          <w:rFonts w:ascii="Times New Roman" w:eastAsia="Gungsuh" w:hAnsi="Times New Roman"/>
          <w:sz w:val="28"/>
          <w:szCs w:val="28"/>
          <w:lang w:val="uk-UA"/>
        </w:rPr>
        <w:t xml:space="preserve"> </w:t>
      </w:r>
    </w:p>
    <w:p w:rsidR="00590F95" w:rsidRPr="00F028F1" w:rsidRDefault="00590F95" w:rsidP="00F028F1">
      <w:pPr>
        <w:spacing w:line="240" w:lineRule="auto"/>
        <w:rPr>
          <w:rFonts w:ascii="Times New Roman" w:eastAsia="Gungsuh" w:hAnsi="Times New Roman"/>
          <w:sz w:val="28"/>
          <w:szCs w:val="28"/>
          <w:lang w:val="uk-UA"/>
        </w:rPr>
      </w:pPr>
      <w:r>
        <w:rPr>
          <w:rFonts w:ascii="Times New Roman" w:eastAsia="Gungsuh" w:hAnsi="Times New Roman"/>
          <w:sz w:val="28"/>
          <w:szCs w:val="28"/>
          <w:lang w:val="uk-UA"/>
        </w:rPr>
        <w:t xml:space="preserve">          6. </w:t>
      </w:r>
      <w:r w:rsidRPr="00F028F1">
        <w:rPr>
          <w:rFonts w:ascii="Times New Roman" w:eastAsia="Gungsuh" w:hAnsi="Times New Roman"/>
          <w:sz w:val="28"/>
          <w:szCs w:val="28"/>
          <w:lang w:val="uk-UA"/>
        </w:rPr>
        <w:t xml:space="preserve">Необхідність уточнення диагнозу, мультідисциплінарного нагляду хворого  та/або консультацій співробітників </w:t>
      </w:r>
      <w:r>
        <w:rPr>
          <w:rFonts w:ascii="Times New Roman" w:eastAsia="Gungsuh" w:hAnsi="Times New Roman"/>
          <w:sz w:val="28"/>
          <w:szCs w:val="28"/>
          <w:lang w:val="uk-UA"/>
        </w:rPr>
        <w:t>профільних кафедр ДЗ «Дніпропетровська медична академія» МОЗ України</w:t>
      </w:r>
    </w:p>
    <w:p w:rsidR="00590F95" w:rsidRPr="00A05D02" w:rsidRDefault="00590F95" w:rsidP="00F028F1">
      <w:pPr>
        <w:pStyle w:val="ListParagraph"/>
        <w:numPr>
          <w:ilvl w:val="0"/>
          <w:numId w:val="24"/>
        </w:numPr>
        <w:rPr>
          <w:rFonts w:ascii="Times New Roman" w:eastAsia="Gungsuh" w:hAnsi="Times New Roman"/>
          <w:bCs/>
          <w:sz w:val="28"/>
          <w:szCs w:val="28"/>
          <w:lang w:val="uk-UA"/>
        </w:rPr>
      </w:pPr>
      <w:r w:rsidRPr="00F028F1">
        <w:rPr>
          <w:rFonts w:ascii="Times New Roman" w:eastAsia="Gungsuh" w:hAnsi="Times New Roman"/>
          <w:sz w:val="28"/>
          <w:szCs w:val="28"/>
          <w:lang w:val="uk-UA"/>
        </w:rPr>
        <w:t>Сумісне ведення хворого з ендокринними хірургами</w:t>
      </w:r>
      <w:r>
        <w:rPr>
          <w:rFonts w:ascii="Times New Roman" w:eastAsia="Gungsuh" w:hAnsi="Times New Roman"/>
          <w:sz w:val="28"/>
          <w:szCs w:val="28"/>
          <w:lang w:val="uk-UA"/>
        </w:rPr>
        <w:t>.</w:t>
      </w:r>
    </w:p>
    <w:p w:rsidR="00590F95" w:rsidRDefault="00590F95" w:rsidP="00A05D02">
      <w:pPr>
        <w:pStyle w:val="ListParagraph"/>
        <w:rPr>
          <w:rFonts w:ascii="Times New Roman" w:eastAsia="Gungsuh" w:hAnsi="Times New Roman"/>
          <w:sz w:val="28"/>
          <w:szCs w:val="28"/>
          <w:lang w:val="uk-UA"/>
        </w:rPr>
      </w:pPr>
    </w:p>
    <w:p w:rsidR="00590F95" w:rsidRDefault="00590F95" w:rsidP="00A05D02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Default="00590F95" w:rsidP="00A05D02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</w:p>
    <w:p w:rsidR="00590F95" w:rsidRPr="00F028F1" w:rsidRDefault="00590F95" w:rsidP="00A05D02">
      <w:pPr>
        <w:pStyle w:val="ListParagraph"/>
        <w:rPr>
          <w:rFonts w:ascii="Times New Roman" w:eastAsia="Gungsuh" w:hAnsi="Times New Roman"/>
          <w:bCs/>
          <w:sz w:val="28"/>
          <w:szCs w:val="28"/>
          <w:lang w:val="uk-UA"/>
        </w:rPr>
      </w:pPr>
      <w:r>
        <w:rPr>
          <w:rFonts w:ascii="Times New Roman" w:eastAsia="Gungsuh" w:hAnsi="Times New Roman"/>
          <w:bCs/>
          <w:sz w:val="28"/>
          <w:szCs w:val="28"/>
          <w:lang w:val="uk-UA"/>
        </w:rPr>
        <w:t xml:space="preserve"> </w:t>
      </w:r>
    </w:p>
    <w:sectPr w:rsidR="00590F95" w:rsidRPr="00F028F1" w:rsidSect="00D62BFA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B40"/>
    <w:multiLevelType w:val="hybridMultilevel"/>
    <w:tmpl w:val="5EF66A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676E60"/>
    <w:multiLevelType w:val="hybridMultilevel"/>
    <w:tmpl w:val="FCDAF9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105591"/>
    <w:multiLevelType w:val="hybridMultilevel"/>
    <w:tmpl w:val="2440F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812860"/>
    <w:multiLevelType w:val="hybridMultilevel"/>
    <w:tmpl w:val="C4EC3CCA"/>
    <w:lvl w:ilvl="0" w:tplc="414C5AE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524FD0"/>
    <w:multiLevelType w:val="hybridMultilevel"/>
    <w:tmpl w:val="242AB7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342BC9"/>
    <w:multiLevelType w:val="hybridMultilevel"/>
    <w:tmpl w:val="BF2ED2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9D733C"/>
    <w:multiLevelType w:val="hybridMultilevel"/>
    <w:tmpl w:val="67F6DDFC"/>
    <w:lvl w:ilvl="0" w:tplc="8D5EDD04">
      <w:start w:val="5"/>
      <w:numFmt w:val="bullet"/>
      <w:lvlText w:val=""/>
      <w:lvlJc w:val="left"/>
      <w:pPr>
        <w:ind w:left="720" w:hanging="360"/>
      </w:pPr>
      <w:rPr>
        <w:rFonts w:ascii="Symbol" w:eastAsia="Gungsuh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B72F0"/>
    <w:multiLevelType w:val="hybridMultilevel"/>
    <w:tmpl w:val="514AEEA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2A6761"/>
    <w:multiLevelType w:val="hybridMultilevel"/>
    <w:tmpl w:val="644E727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CB343F"/>
    <w:multiLevelType w:val="hybridMultilevel"/>
    <w:tmpl w:val="D74E5112"/>
    <w:lvl w:ilvl="0" w:tplc="2962F1DA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0">
    <w:nsid w:val="3AE22F33"/>
    <w:multiLevelType w:val="hybridMultilevel"/>
    <w:tmpl w:val="68C82BC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920FBB"/>
    <w:multiLevelType w:val="hybridMultilevel"/>
    <w:tmpl w:val="408CB520"/>
    <w:lvl w:ilvl="0" w:tplc="5060EFC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707636"/>
    <w:multiLevelType w:val="hybridMultilevel"/>
    <w:tmpl w:val="DD5E1196"/>
    <w:lvl w:ilvl="0" w:tplc="390E4E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58E6449"/>
    <w:multiLevelType w:val="hybridMultilevel"/>
    <w:tmpl w:val="7D5E1BE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33064D"/>
    <w:multiLevelType w:val="hybridMultilevel"/>
    <w:tmpl w:val="ED72E502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512397"/>
    <w:multiLevelType w:val="hybridMultilevel"/>
    <w:tmpl w:val="F4AC272C"/>
    <w:lvl w:ilvl="0" w:tplc="0422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525B7C"/>
    <w:multiLevelType w:val="hybridMultilevel"/>
    <w:tmpl w:val="1504A68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177AD8"/>
    <w:multiLevelType w:val="hybridMultilevel"/>
    <w:tmpl w:val="2D2088DE"/>
    <w:lvl w:ilvl="0" w:tplc="28F0C320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1FE7E01"/>
    <w:multiLevelType w:val="hybridMultilevel"/>
    <w:tmpl w:val="E06AF30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2B1390D"/>
    <w:multiLevelType w:val="hybridMultilevel"/>
    <w:tmpl w:val="408CB520"/>
    <w:lvl w:ilvl="0" w:tplc="5060EFC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2B275B8"/>
    <w:multiLevelType w:val="hybridMultilevel"/>
    <w:tmpl w:val="1BB8A77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42B60FD"/>
    <w:multiLevelType w:val="hybridMultilevel"/>
    <w:tmpl w:val="F38E380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EF38D6"/>
    <w:multiLevelType w:val="hybridMultilevel"/>
    <w:tmpl w:val="1BB8A77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12553A"/>
    <w:multiLevelType w:val="hybridMultilevel"/>
    <w:tmpl w:val="F4AC272C"/>
    <w:lvl w:ilvl="0" w:tplc="0422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BC627FD"/>
    <w:multiLevelType w:val="hybridMultilevel"/>
    <w:tmpl w:val="ED72E502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CB742AF"/>
    <w:multiLevelType w:val="hybridMultilevel"/>
    <w:tmpl w:val="1BB8A77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9"/>
  </w:num>
  <w:num w:numId="7">
    <w:abstractNumId w:val="7"/>
  </w:num>
  <w:num w:numId="8">
    <w:abstractNumId w:val="14"/>
  </w:num>
  <w:num w:numId="9">
    <w:abstractNumId w:val="24"/>
  </w:num>
  <w:num w:numId="10">
    <w:abstractNumId w:val="15"/>
  </w:num>
  <w:num w:numId="11">
    <w:abstractNumId w:val="25"/>
  </w:num>
  <w:num w:numId="12">
    <w:abstractNumId w:val="18"/>
  </w:num>
  <w:num w:numId="13">
    <w:abstractNumId w:val="23"/>
  </w:num>
  <w:num w:numId="14">
    <w:abstractNumId w:val="10"/>
  </w:num>
  <w:num w:numId="15">
    <w:abstractNumId w:val="8"/>
  </w:num>
  <w:num w:numId="16">
    <w:abstractNumId w:val="16"/>
  </w:num>
  <w:num w:numId="17">
    <w:abstractNumId w:val="21"/>
  </w:num>
  <w:num w:numId="18">
    <w:abstractNumId w:val="9"/>
  </w:num>
  <w:num w:numId="19">
    <w:abstractNumId w:val="11"/>
  </w:num>
  <w:num w:numId="20">
    <w:abstractNumId w:val="20"/>
  </w:num>
  <w:num w:numId="21">
    <w:abstractNumId w:val="6"/>
  </w:num>
  <w:num w:numId="22">
    <w:abstractNumId w:val="12"/>
  </w:num>
  <w:num w:numId="23">
    <w:abstractNumId w:val="22"/>
  </w:num>
  <w:num w:numId="24">
    <w:abstractNumId w:val="17"/>
  </w:num>
  <w:num w:numId="25">
    <w:abstractNumId w:val="13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2BFA"/>
    <w:rsid w:val="00006768"/>
    <w:rsid w:val="00177009"/>
    <w:rsid w:val="00182EC3"/>
    <w:rsid w:val="00185D03"/>
    <w:rsid w:val="001A2BA3"/>
    <w:rsid w:val="00286B86"/>
    <w:rsid w:val="002B2611"/>
    <w:rsid w:val="002C4FEA"/>
    <w:rsid w:val="002C5DAA"/>
    <w:rsid w:val="002E3BCF"/>
    <w:rsid w:val="00317CC5"/>
    <w:rsid w:val="00365D61"/>
    <w:rsid w:val="003770A1"/>
    <w:rsid w:val="0040548D"/>
    <w:rsid w:val="00431C11"/>
    <w:rsid w:val="00466003"/>
    <w:rsid w:val="00490AF8"/>
    <w:rsid w:val="00492AB5"/>
    <w:rsid w:val="004A06EA"/>
    <w:rsid w:val="004A6266"/>
    <w:rsid w:val="004C628A"/>
    <w:rsid w:val="004E26DB"/>
    <w:rsid w:val="004E487E"/>
    <w:rsid w:val="004F69A2"/>
    <w:rsid w:val="005701EA"/>
    <w:rsid w:val="005875DA"/>
    <w:rsid w:val="00590F95"/>
    <w:rsid w:val="00597E4B"/>
    <w:rsid w:val="005C24F8"/>
    <w:rsid w:val="005E64FA"/>
    <w:rsid w:val="00605717"/>
    <w:rsid w:val="00650065"/>
    <w:rsid w:val="006611FD"/>
    <w:rsid w:val="00673B03"/>
    <w:rsid w:val="006B4D6E"/>
    <w:rsid w:val="006C3CAB"/>
    <w:rsid w:val="006F7B21"/>
    <w:rsid w:val="0071593A"/>
    <w:rsid w:val="0072325E"/>
    <w:rsid w:val="007A1954"/>
    <w:rsid w:val="007D1FCB"/>
    <w:rsid w:val="00847F46"/>
    <w:rsid w:val="00871CC0"/>
    <w:rsid w:val="00871EA9"/>
    <w:rsid w:val="00895686"/>
    <w:rsid w:val="008D781D"/>
    <w:rsid w:val="00925F86"/>
    <w:rsid w:val="00937521"/>
    <w:rsid w:val="009A39A2"/>
    <w:rsid w:val="009E79F6"/>
    <w:rsid w:val="00A01D93"/>
    <w:rsid w:val="00A05D02"/>
    <w:rsid w:val="00A4496E"/>
    <w:rsid w:val="00A46A47"/>
    <w:rsid w:val="00A74F6A"/>
    <w:rsid w:val="00A94295"/>
    <w:rsid w:val="00AB37CE"/>
    <w:rsid w:val="00AE6E78"/>
    <w:rsid w:val="00B14863"/>
    <w:rsid w:val="00B16755"/>
    <w:rsid w:val="00B6272D"/>
    <w:rsid w:val="00B707DE"/>
    <w:rsid w:val="00B71B4B"/>
    <w:rsid w:val="00C179E6"/>
    <w:rsid w:val="00C2760D"/>
    <w:rsid w:val="00CA4D3E"/>
    <w:rsid w:val="00CB03A1"/>
    <w:rsid w:val="00CC15A5"/>
    <w:rsid w:val="00CC6891"/>
    <w:rsid w:val="00D43E54"/>
    <w:rsid w:val="00D62BFA"/>
    <w:rsid w:val="00DA05BF"/>
    <w:rsid w:val="00DA7BEA"/>
    <w:rsid w:val="00DF01D9"/>
    <w:rsid w:val="00E06BE7"/>
    <w:rsid w:val="00E072EE"/>
    <w:rsid w:val="00E2587A"/>
    <w:rsid w:val="00E309F1"/>
    <w:rsid w:val="00E624EE"/>
    <w:rsid w:val="00E6399B"/>
    <w:rsid w:val="00E72C7E"/>
    <w:rsid w:val="00E74633"/>
    <w:rsid w:val="00EB16B1"/>
    <w:rsid w:val="00EC3A31"/>
    <w:rsid w:val="00EC4923"/>
    <w:rsid w:val="00ED503C"/>
    <w:rsid w:val="00EF636C"/>
    <w:rsid w:val="00F028F1"/>
    <w:rsid w:val="00F03496"/>
    <w:rsid w:val="00F21020"/>
    <w:rsid w:val="00F257B1"/>
    <w:rsid w:val="00F31208"/>
    <w:rsid w:val="00F4066B"/>
    <w:rsid w:val="00F41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2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E3BCF"/>
    <w:pPr>
      <w:ind w:left="720"/>
      <w:contextualSpacing/>
    </w:pPr>
  </w:style>
  <w:style w:type="table" w:styleId="TableGrid">
    <w:name w:val="Table Grid"/>
    <w:basedOn w:val="TableNormal"/>
    <w:uiPriority w:val="99"/>
    <w:rsid w:val="00490A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72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2C7E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uiPriority w:val="99"/>
    <w:qFormat/>
    <w:rsid w:val="004E487E"/>
    <w:pPr>
      <w:spacing w:after="0" w:line="240" w:lineRule="auto"/>
      <w:jc w:val="center"/>
    </w:pPr>
    <w:rPr>
      <w:rFonts w:ascii="Times New Roman" w:hAnsi="Times New Roman"/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E487E"/>
    <w:rPr>
      <w:rFonts w:ascii="Times New Roman" w:hAnsi="Times New Roman" w:cs="Times New Roman"/>
      <w:sz w:val="28"/>
      <w:szCs w:val="28"/>
      <w:lang w:val="uk-UA"/>
    </w:rPr>
  </w:style>
  <w:style w:type="paragraph" w:styleId="Subtitle">
    <w:name w:val="Subtitle"/>
    <w:basedOn w:val="Normal"/>
    <w:link w:val="SubtitleChar"/>
    <w:uiPriority w:val="99"/>
    <w:qFormat/>
    <w:rsid w:val="00DA05BF"/>
    <w:pPr>
      <w:spacing w:after="0" w:line="240" w:lineRule="auto"/>
    </w:pPr>
    <w:rPr>
      <w:rFonts w:ascii="Times New Roman" w:hAnsi="Times New Roman"/>
      <w:b/>
      <w:bCs/>
      <w:i/>
      <w:iCs/>
      <w:sz w:val="28"/>
      <w:szCs w:val="28"/>
      <w:lang w:val="uk-U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A05BF"/>
    <w:rPr>
      <w:rFonts w:ascii="Times New Roman" w:hAnsi="Times New Roman" w:cs="Times New Roman"/>
      <w:b/>
      <w:bCs/>
      <w:i/>
      <w:iCs/>
      <w:sz w:val="28"/>
      <w:szCs w:val="28"/>
      <w:lang w:val="uk-UA"/>
    </w:rPr>
  </w:style>
  <w:style w:type="paragraph" w:styleId="Header">
    <w:name w:val="header"/>
    <w:basedOn w:val="Normal"/>
    <w:link w:val="HeaderChar"/>
    <w:uiPriority w:val="99"/>
    <w:semiHidden/>
    <w:rsid w:val="006057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5717"/>
    <w:rPr>
      <w:rFonts w:ascii="Times New Roman" w:hAnsi="Times New Roman" w:cs="Times New Roman"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7</Pages>
  <Words>1577</Words>
  <Characters>8989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Маляр</dc:creator>
  <cp:keywords/>
  <dc:description/>
  <cp:lastModifiedBy>User</cp:lastModifiedBy>
  <cp:revision>5</cp:revision>
  <cp:lastPrinted>2013-11-25T10:22:00Z</cp:lastPrinted>
  <dcterms:created xsi:type="dcterms:W3CDTF">2013-11-21T11:47:00Z</dcterms:created>
  <dcterms:modified xsi:type="dcterms:W3CDTF">2013-11-25T10:26:00Z</dcterms:modified>
</cp:coreProperties>
</file>